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</w:t>
      </w:r>
    </w:p>
    <w:p>
      <w:pPr>
        <w:spacing w:line="360" w:lineRule="auto"/>
        <w:jc w:val="center"/>
        <w:rPr>
          <w:rFonts w:hint="default" w:ascii="宋体" w:hAnsi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single"/>
          <w:lang w:val="en-US" w:eastAsia="zh-CN"/>
        </w:rPr>
        <w:t>新疆能源集团销售有限责任公司（新疆能源&lt;集团&gt;智营能源服务有限责任公司）</w:t>
      </w: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公开招聘职位表</w:t>
      </w:r>
    </w:p>
    <w:tbl>
      <w:tblPr>
        <w:tblStyle w:val="5"/>
        <w:tblW w:w="0" w:type="auto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230"/>
        <w:gridCol w:w="1330"/>
        <w:gridCol w:w="472"/>
        <w:gridCol w:w="911"/>
        <w:gridCol w:w="1328"/>
        <w:gridCol w:w="4666"/>
        <w:gridCol w:w="480"/>
        <w:gridCol w:w="556"/>
        <w:gridCol w:w="1179"/>
        <w:gridCol w:w="1018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47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66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工作经验</w:t>
            </w: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、职称、职业/执业资格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等要求</w:t>
            </w:r>
          </w:p>
        </w:tc>
        <w:tc>
          <w:tcPr>
            <w:tcW w:w="48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校招</w:t>
            </w:r>
          </w:p>
        </w:tc>
        <w:tc>
          <w:tcPr>
            <w:tcW w:w="55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社招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exact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哈密运销公司销售部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销售专干</w:t>
            </w:r>
          </w:p>
        </w:tc>
        <w:tc>
          <w:tcPr>
            <w:tcW w:w="47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及以上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市场营销、国际贸易等专业</w:t>
            </w:r>
          </w:p>
        </w:tc>
        <w:tc>
          <w:tcPr>
            <w:tcW w:w="466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1.熟悉煤炭的技术参数和质量指标，具有优秀的人际沟通和协调能力、组织协调能力和较强的执行力。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2.大型国企及上市企业工作经历者优先考虑。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3.应届毕业生优先考虑。</w:t>
            </w:r>
          </w:p>
        </w:tc>
        <w:tc>
          <w:tcPr>
            <w:tcW w:w="48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</w:p>
        </w:tc>
        <w:tc>
          <w:tcPr>
            <w:tcW w:w="55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√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新疆哈密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exact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哈密运销公司物流部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物流专干</w:t>
            </w:r>
          </w:p>
        </w:tc>
        <w:tc>
          <w:tcPr>
            <w:tcW w:w="47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及以上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物流管理、统计学等相关专业</w:t>
            </w:r>
          </w:p>
        </w:tc>
        <w:tc>
          <w:tcPr>
            <w:tcW w:w="466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1.具有2年以上物流管理工作经验。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2.具有公铁联运物流管理经历，熟悉铁路发运、车辆管理、货物仓储、信息报备等相关工作职责。熟悉使用办公类软件，具有良好的心理素质和正常履行职责的身体条件。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3.大型国企及上市企业工作经历者优先考虑。</w:t>
            </w:r>
          </w:p>
        </w:tc>
        <w:tc>
          <w:tcPr>
            <w:tcW w:w="48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</w:p>
        </w:tc>
        <w:tc>
          <w:tcPr>
            <w:tcW w:w="556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√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新疆哈密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A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420"/>
    </w:pPr>
    <w:rPr>
      <w:rFonts w:ascii="宋体"/>
    </w:rPr>
  </w:style>
  <w:style w:type="paragraph" w:customStyle="1" w:styleId="4">
    <w:name w:val="TOC Heading1"/>
    <w:next w:val="1"/>
    <w:qFormat/>
    <w:uiPriority w:val="0"/>
    <w:pPr>
      <w:wordWrap w:val="0"/>
    </w:pPr>
    <w:rPr>
      <w:rFonts w:ascii="宋体" w:hAnsi="宋体" w:eastAsia="Calibri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2024-06-26T10:31:13Z</dcterms:created>
  <dc:creator>Administrator</dc:creator>
  <cp:lastModifiedBy>刘子云</cp:lastModifiedBy>
  <dcterms:modified xsi:type="dcterms:W3CDTF">2024-06-26T10:31:21Z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